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pPr w:leftFromText="180" w:rightFromText="180" w:vertAnchor="text" w:horzAnchor="page" w:tblpX="1134" w:tblpY="381"/>
        <w:tblOverlap w:val="never"/>
        <w:tblW w:w="14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1443"/>
        <w:gridCol w:w="1423"/>
        <w:gridCol w:w="956"/>
        <w:gridCol w:w="1892"/>
        <w:gridCol w:w="2006"/>
        <w:gridCol w:w="1757"/>
        <w:gridCol w:w="4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4466" w:type="dxa"/>
            <w:gridSpan w:val="8"/>
            <w:tcBorders>
              <w:top w:val="nil"/>
              <w:left w:val="nil"/>
              <w:bottom w:val="single" w:color="auto"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仿宋_GB2312" w:eastAsia="仿宋_GB2312" w:cs="仿宋_GB2312"/>
                <w:b/>
                <w:bCs/>
                <w:sz w:val="36"/>
                <w:szCs w:val="36"/>
              </w:rPr>
              <w:t>吉林省净发创新投资集团子公司面向社会市场化选聘专业人才岗位一览表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选聘单位</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选聘岗位</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选聘人数</w:t>
            </w:r>
          </w:p>
        </w:tc>
        <w:tc>
          <w:tcPr>
            <w:tcW w:w="18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年龄要求</w:t>
            </w:r>
          </w:p>
        </w:tc>
        <w:tc>
          <w:tcPr>
            <w:tcW w:w="2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专业要求</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学历要求</w:t>
            </w:r>
          </w:p>
        </w:tc>
        <w:tc>
          <w:tcPr>
            <w:tcW w:w="4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8" w:hRule="atLeast"/>
        </w:trPr>
        <w:tc>
          <w:tcPr>
            <w:tcW w:w="82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44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吉林省净发资产管理有限公司（二级公司）</w:t>
            </w:r>
          </w:p>
        </w:tc>
        <w:tc>
          <w:tcPr>
            <w:tcW w:w="142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79"/>
              </w:tabs>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风控专员</w:t>
            </w:r>
          </w:p>
        </w:tc>
        <w:tc>
          <w:tcPr>
            <w:tcW w:w="95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89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40周岁及以下</w:t>
            </w:r>
          </w:p>
        </w:tc>
        <w:tc>
          <w:tcPr>
            <w:tcW w:w="200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法学类（信用风险管理与法律防控专业）</w:t>
            </w:r>
          </w:p>
        </w:tc>
        <w:tc>
          <w:tcPr>
            <w:tcW w:w="1757"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全日制本科及以上</w:t>
            </w:r>
          </w:p>
        </w:tc>
        <w:tc>
          <w:tcPr>
            <w:tcW w:w="416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1、具有2年及以上风控行业相关经验，有审计事务所、企业风险管理部门等工作经验者优先；</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2、能运用各种风险评估和风险控制工具；</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3、知晓《公司法》相关的法律法规；</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4、具有优秀的分析.解决问题的能力，有较强的工作责任心和事业心；</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5、熟练使用办公软件。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8" w:hRule="atLeast"/>
        </w:trPr>
        <w:tc>
          <w:tcPr>
            <w:tcW w:w="82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44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吉林省净发资产管理有限公司（二级公司）</w:t>
            </w:r>
          </w:p>
        </w:tc>
        <w:tc>
          <w:tcPr>
            <w:tcW w:w="142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79"/>
              </w:tabs>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成本核算专员</w:t>
            </w:r>
          </w:p>
        </w:tc>
        <w:tc>
          <w:tcPr>
            <w:tcW w:w="95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189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40周岁及以下</w:t>
            </w:r>
          </w:p>
        </w:tc>
        <w:tc>
          <w:tcPr>
            <w:tcW w:w="200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管理科学与工程类（工程造价专业）</w:t>
            </w:r>
          </w:p>
        </w:tc>
        <w:tc>
          <w:tcPr>
            <w:tcW w:w="1757"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全日制本科及以上</w:t>
            </w:r>
          </w:p>
        </w:tc>
        <w:tc>
          <w:tcPr>
            <w:tcW w:w="416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1、5年以上建筑行业相关造价经验，可独立编制及审核土建专业预结算内容；</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2、具备一级造价工程师职业资格证书或有造价咨询机构工作5年以上者可优先；</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3、有特别条件优秀者可适当放宽。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6" w:hRule="atLeast"/>
        </w:trPr>
        <w:tc>
          <w:tcPr>
            <w:tcW w:w="82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44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吉林省净发资产管理有限公司（二级公司</w:t>
            </w:r>
          </w:p>
        </w:tc>
        <w:tc>
          <w:tcPr>
            <w:tcW w:w="142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79"/>
              </w:tabs>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会计A岗</w:t>
            </w:r>
          </w:p>
        </w:tc>
        <w:tc>
          <w:tcPr>
            <w:tcW w:w="95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89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40周岁及以下</w:t>
            </w:r>
          </w:p>
        </w:tc>
        <w:tc>
          <w:tcPr>
            <w:tcW w:w="200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工商管理类（会计学专业）</w:t>
            </w:r>
          </w:p>
        </w:tc>
        <w:tc>
          <w:tcPr>
            <w:tcW w:w="1757"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全日制本科及以上</w:t>
            </w:r>
          </w:p>
        </w:tc>
        <w:tc>
          <w:tcPr>
            <w:tcW w:w="416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w:t>
            </w:r>
            <w:r>
              <w:rPr>
                <w:rFonts w:hint="eastAsia" w:ascii="仿宋" w:hAnsi="仿宋" w:eastAsia="仿宋" w:cs="仿宋"/>
                <w:i w:val="0"/>
                <w:iCs w:val="0"/>
                <w:color w:val="000000"/>
                <w:sz w:val="22"/>
                <w:szCs w:val="22"/>
                <w:u w:val="none"/>
                <w:lang w:val="en-US" w:eastAsia="zh-CN"/>
              </w:rPr>
              <w:t>具有</w:t>
            </w:r>
            <w:r>
              <w:rPr>
                <w:rFonts w:hint="eastAsia" w:ascii="仿宋" w:hAnsi="仿宋" w:eastAsia="仿宋" w:cs="仿宋"/>
                <w:i w:val="0"/>
                <w:iCs w:val="0"/>
                <w:color w:val="000000"/>
                <w:sz w:val="22"/>
                <w:szCs w:val="22"/>
                <w:u w:val="none"/>
              </w:rPr>
              <w:t>中级及以上职称,有注册会计师证优先；</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2、3年以上房地产主办会计岗位工作经验，做过土地增值税清算、房地产项目税筹/预算，有审计工作或会计师事务所工作经验优先；</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3、熟练操作财务软件，熟悉会计、审计、税务、财务管理等相关法律法规及企业财务制度和流程；</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4、能独立完成财务全盘账务处理、税收申报、合并报表编制等工作；</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5、具备良好的学习能力、沟通能力、分析能力及职业道德，责任心强。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0" w:hRule="atLeast"/>
        </w:trPr>
        <w:tc>
          <w:tcPr>
            <w:tcW w:w="82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144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吉林省净发资产管理有限公司（二级公司</w:t>
            </w:r>
          </w:p>
        </w:tc>
        <w:tc>
          <w:tcPr>
            <w:tcW w:w="1423"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会计B岗</w:t>
            </w:r>
          </w:p>
        </w:tc>
        <w:tc>
          <w:tcPr>
            <w:tcW w:w="95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89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50周岁及以下</w:t>
            </w:r>
          </w:p>
        </w:tc>
        <w:tc>
          <w:tcPr>
            <w:tcW w:w="200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工商管理类（会计学专业）</w:t>
            </w:r>
          </w:p>
        </w:tc>
        <w:tc>
          <w:tcPr>
            <w:tcW w:w="1757"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全日制本科及以上</w:t>
            </w:r>
          </w:p>
        </w:tc>
        <w:tc>
          <w:tcPr>
            <w:tcW w:w="416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1、具有注册会计师资格证书；</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2、20年以上会计行业工作经验，其中财务管理岗经验不少于10年，会计师事务所（或税务师事务所）经验不少于5年；</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3、具备出色的财务分析能力，可独立完成财务报表分析，出具有效财务建议；深度参与业务运营，在项目前期阶段参与税务筹划和合规管理，充分提示财税风险，确保业务有效开展；                                             4、审计经验丰富，能完成公司各项专项审计，配合内审审查财务循环、记录、凭证、帐薄；                                             5、能独立完成财务全盘账务处理、税收申报等工作，负责编制合并财务报表；</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6、具备良好的沟通能力及职业道德，责任心强。</w:t>
            </w:r>
          </w:p>
        </w:tc>
      </w:tr>
    </w:tbl>
    <w:p>
      <w:bookmarkStart w:id="0" w:name="_GoBack"/>
      <w:bookmarkEnd w:id="0"/>
    </w:p>
    <w:sectPr>
      <w:pgSz w:w="16783" w:h="11850"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D2AAF"/>
    <w:rsid w:val="188D68A0"/>
    <w:rsid w:val="1D623B53"/>
    <w:rsid w:val="1EA1731E"/>
    <w:rsid w:val="4A434A8B"/>
    <w:rsid w:val="741D1096"/>
    <w:rsid w:val="7E17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unhideWhenUsed/>
    <w:qFormat/>
    <w:uiPriority w:val="0"/>
    <w:pPr>
      <w:spacing w:line="440" w:lineRule="exact"/>
      <w:ind w:firstLine="567"/>
    </w:pPr>
    <w:rPr>
      <w:rFonts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2024-09-14T01:04:00Z</cp:lastPrinted>
  <dcterms:modified xsi:type="dcterms:W3CDTF">2024-11-11T01:31:43Z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