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896" w:tblpY="148"/>
        <w:tblOverlap w:val="never"/>
        <w:tblW w:w="15593" w:type="dxa"/>
        <w:tblInd w:w="0" w:type="dxa"/>
        <w:tblLayout w:type="fixed"/>
        <w:tblCellMar>
          <w:top w:w="0" w:type="dxa"/>
          <w:left w:w="108" w:type="dxa"/>
          <w:bottom w:w="0" w:type="dxa"/>
          <w:right w:w="108" w:type="dxa"/>
        </w:tblCellMar>
      </w:tblPr>
      <w:tblGrid>
        <w:gridCol w:w="992"/>
        <w:gridCol w:w="1560"/>
        <w:gridCol w:w="1645"/>
        <w:gridCol w:w="901"/>
        <w:gridCol w:w="1245"/>
        <w:gridCol w:w="2670"/>
        <w:gridCol w:w="1340"/>
        <w:gridCol w:w="4208"/>
        <w:gridCol w:w="1032"/>
      </w:tblGrid>
      <w:tr>
        <w:tblPrEx>
          <w:tblLayout w:type="fixed"/>
        </w:tblPrEx>
        <w:trPr>
          <w:trHeight w:val="977" w:hRule="atLeast"/>
        </w:trPr>
        <w:tc>
          <w:tcPr>
            <w:tcW w:w="15593" w:type="dxa"/>
            <w:gridSpan w:val="9"/>
            <w:tcBorders>
              <w:top w:val="nil"/>
              <w:left w:val="nil"/>
              <w:bottom w:val="nil"/>
              <w:right w:val="nil"/>
            </w:tcBorders>
            <w:vAlign w:val="center"/>
          </w:tcPr>
          <w:p>
            <w:pPr>
              <w:tabs>
                <w:tab w:val="center" w:pos="4772"/>
                <w:tab w:val="left" w:pos="7050"/>
              </w:tabs>
              <w:jc w:val="left"/>
              <w:rPr>
                <w:rFonts w:hint="default" w:ascii="宋体" w:hAnsi="宋体"/>
                <w:sz w:val="28"/>
                <w:szCs w:val="28"/>
                <w:lang w:val="en-US" w:eastAsia="zh-CN"/>
              </w:rPr>
            </w:pPr>
            <w:r>
              <w:rPr>
                <w:rFonts w:hint="eastAsia" w:ascii="宋体" w:hAnsi="宋体"/>
                <w:sz w:val="28"/>
                <w:szCs w:val="28"/>
                <w:lang w:val="en-US" w:eastAsia="zh-CN"/>
              </w:rPr>
              <w:t>附件1：</w:t>
            </w:r>
          </w:p>
          <w:p>
            <w:pPr>
              <w:widowControl/>
              <w:jc w:val="center"/>
              <w:textAlignment w:val="center"/>
              <w:rPr>
                <w:rFonts w:ascii="宋体" w:hAnsi="宋体"/>
                <w:b/>
                <w:bCs/>
                <w:color w:val="000000"/>
                <w:sz w:val="36"/>
                <w:szCs w:val="36"/>
              </w:rPr>
            </w:pPr>
            <w:r>
              <w:rPr>
                <w:rFonts w:hint="eastAsia" w:ascii="宋体" w:hAnsi="宋体"/>
                <w:b/>
                <w:bCs/>
                <w:color w:val="000000"/>
                <w:kern w:val="0"/>
                <w:sz w:val="36"/>
                <w:szCs w:val="36"/>
                <w:lang w:bidi="ar"/>
              </w:rPr>
              <w:t>吉林省净发创新投资集团子公司面向社会市场化选聘专业人才岗位一览表</w:t>
            </w:r>
          </w:p>
        </w:tc>
      </w:tr>
      <w:tr>
        <w:tblPrEx>
          <w:tblLayout w:type="fixed"/>
          <w:tblCellMar>
            <w:top w:w="0" w:type="dxa"/>
            <w:left w:w="108" w:type="dxa"/>
            <w:bottom w:w="0" w:type="dxa"/>
            <w:right w:w="108" w:type="dxa"/>
          </w:tblCellMar>
        </w:tblPrEx>
        <w:trPr>
          <w:trHeight w:val="559" w:hRule="atLeast"/>
        </w:trPr>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序号</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选聘单位</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选聘岗位</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选聘人数</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年龄要求</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专业要求</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学历要求</w:t>
            </w:r>
          </w:p>
        </w:tc>
        <w:tc>
          <w:tcPr>
            <w:tcW w:w="4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其他岗位要求</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b/>
                <w:bCs/>
                <w:color w:val="000000"/>
                <w:sz w:val="24"/>
                <w:szCs w:val="24"/>
                <w:lang w:eastAsia="zh-CN"/>
              </w:rPr>
            </w:pPr>
            <w:r>
              <w:rPr>
                <w:rFonts w:hint="eastAsia" w:ascii="宋体" w:hAnsi="宋体"/>
                <w:b/>
                <w:bCs/>
                <w:color w:val="000000"/>
                <w:kern w:val="0"/>
                <w:sz w:val="24"/>
                <w:szCs w:val="24"/>
                <w:lang w:val="en-US" w:eastAsia="zh-CN" w:bidi="ar"/>
              </w:rPr>
              <w:t>备注</w:t>
            </w:r>
          </w:p>
        </w:tc>
      </w:tr>
      <w:tr>
        <w:tblPrEx>
          <w:tblLayout w:type="fixed"/>
          <w:tblCellMar>
            <w:top w:w="0" w:type="dxa"/>
            <w:left w:w="108" w:type="dxa"/>
            <w:bottom w:w="0" w:type="dxa"/>
            <w:right w:w="108" w:type="dxa"/>
          </w:tblCellMar>
        </w:tblPrEx>
        <w:trPr>
          <w:trHeight w:val="4401" w:hRule="atLeast"/>
        </w:trPr>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b/>
                <w:bCs/>
                <w:color w:val="000000"/>
                <w:kern w:val="0"/>
                <w:sz w:val="24"/>
                <w:szCs w:val="24"/>
                <w:lang w:val="en-US" w:eastAsia="zh-CN" w:bidi="ar"/>
              </w:rPr>
            </w:pPr>
            <w:r>
              <w:rPr>
                <w:rFonts w:hint="eastAsia" w:ascii="宋体" w:hAnsi="宋体"/>
                <w:b/>
                <w:bCs/>
                <w:color w:val="000000"/>
                <w:kern w:val="0"/>
                <w:sz w:val="24"/>
                <w:szCs w:val="24"/>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b/>
                <w:bCs/>
                <w:color w:val="000000"/>
                <w:kern w:val="0"/>
                <w:sz w:val="24"/>
                <w:szCs w:val="24"/>
                <w:lang w:bidi="ar"/>
              </w:rPr>
            </w:pPr>
            <w:r>
              <w:rPr>
                <w:rFonts w:hint="eastAsia" w:ascii="仿宋" w:hAnsi="仿宋" w:eastAsia="仿宋" w:cs="仿宋"/>
                <w:color w:val="000000"/>
                <w:sz w:val="22"/>
              </w:rPr>
              <w:t>吉林省净发供应链有限责任公司</w:t>
            </w:r>
            <w:r>
              <w:rPr>
                <w:rFonts w:hint="eastAsia" w:ascii="仿宋" w:hAnsi="仿宋" w:eastAsia="仿宋" w:cs="仿宋"/>
                <w:color w:val="000000"/>
                <w:sz w:val="22"/>
              </w:rPr>
              <w:br w:type="textWrapping"/>
            </w:r>
            <w:r>
              <w:rPr>
                <w:rFonts w:hint="eastAsia" w:ascii="仿宋" w:hAnsi="仿宋" w:eastAsia="仿宋" w:cs="仿宋"/>
                <w:color w:val="000000"/>
                <w:sz w:val="22"/>
                <w:lang w:eastAsia="zh-CN"/>
              </w:rPr>
              <w:t>（</w:t>
            </w:r>
            <w:r>
              <w:rPr>
                <w:rFonts w:hint="eastAsia" w:ascii="仿宋" w:hAnsi="仿宋" w:eastAsia="仿宋" w:cs="仿宋"/>
                <w:color w:val="000000"/>
                <w:sz w:val="22"/>
                <w:lang w:val="en-US" w:eastAsia="zh-CN"/>
              </w:rPr>
              <w:t>二级公司</w:t>
            </w:r>
            <w:r>
              <w:rPr>
                <w:rFonts w:hint="eastAsia" w:ascii="仿宋" w:hAnsi="仿宋" w:eastAsia="仿宋" w:cs="仿宋"/>
                <w:color w:val="000000"/>
                <w:sz w:val="22"/>
                <w:lang w:eastAsia="zh-CN"/>
              </w:rPr>
              <w:t>）</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sz w:val="22"/>
              </w:rPr>
            </w:pPr>
            <w:r>
              <w:rPr>
                <w:rFonts w:hint="eastAsia" w:ascii="仿宋" w:hAnsi="仿宋" w:eastAsia="仿宋"/>
                <w:sz w:val="22"/>
              </w:rPr>
              <w:t>采购部</w:t>
            </w:r>
          </w:p>
          <w:p>
            <w:pPr>
              <w:widowControl/>
              <w:jc w:val="center"/>
              <w:textAlignment w:val="center"/>
              <w:rPr>
                <w:rFonts w:hint="eastAsia" w:ascii="宋体" w:hAnsi="宋体"/>
                <w:b/>
                <w:bCs/>
                <w:color w:val="000000"/>
                <w:kern w:val="0"/>
                <w:sz w:val="24"/>
                <w:szCs w:val="24"/>
                <w:lang w:bidi="ar"/>
              </w:rPr>
            </w:pPr>
            <w:r>
              <w:rPr>
                <w:rFonts w:hint="eastAsia" w:ascii="仿宋" w:hAnsi="仿宋" w:eastAsia="仿宋"/>
                <w:sz w:val="22"/>
              </w:rPr>
              <w:t>副部长</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b/>
                <w:bCs/>
                <w:color w:val="000000"/>
                <w:kern w:val="0"/>
                <w:sz w:val="24"/>
                <w:szCs w:val="24"/>
                <w:lang w:bidi="ar"/>
              </w:rPr>
            </w:pPr>
            <w:r>
              <w:rPr>
                <w:rFonts w:hint="eastAsia" w:ascii="仿宋" w:hAnsi="仿宋" w:eastAsia="仿宋" w:cs="仿宋"/>
                <w:color w:val="000000"/>
                <w:sz w:val="22"/>
                <w:lang w:val="en-US" w:eastAsia="zh-CN"/>
              </w:rPr>
              <w:t>1</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b/>
                <w:bCs/>
                <w:color w:val="000000"/>
                <w:kern w:val="0"/>
                <w:sz w:val="24"/>
                <w:szCs w:val="24"/>
                <w:lang w:bidi="ar"/>
              </w:rPr>
            </w:pPr>
            <w:r>
              <w:rPr>
                <w:rFonts w:hint="eastAsia" w:ascii="仿宋" w:hAnsi="仿宋" w:eastAsia="仿宋"/>
                <w:sz w:val="22"/>
              </w:rPr>
              <w:t>40周岁及 以下</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b/>
                <w:bCs/>
                <w:color w:val="000000"/>
                <w:kern w:val="0"/>
                <w:sz w:val="24"/>
                <w:szCs w:val="24"/>
                <w:lang w:bidi="ar"/>
              </w:rPr>
            </w:pPr>
            <w:r>
              <w:rPr>
                <w:rFonts w:hint="eastAsia" w:ascii="仿宋" w:hAnsi="仿宋" w:eastAsia="仿宋"/>
                <w:sz w:val="22"/>
              </w:rPr>
              <w:t>土木类（土木工程专业）</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b/>
                <w:bCs/>
                <w:color w:val="000000"/>
                <w:kern w:val="0"/>
                <w:sz w:val="24"/>
                <w:szCs w:val="24"/>
                <w:lang w:bidi="ar"/>
              </w:rPr>
            </w:pPr>
            <w:r>
              <w:rPr>
                <w:rFonts w:hint="eastAsia" w:ascii="仿宋" w:hAnsi="仿宋" w:eastAsia="仿宋"/>
                <w:sz w:val="22"/>
              </w:rPr>
              <w:t>全日制本科及以上学历</w:t>
            </w:r>
          </w:p>
        </w:tc>
        <w:tc>
          <w:tcPr>
            <w:tcW w:w="42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sz w:val="22"/>
              </w:rPr>
            </w:pPr>
            <w:r>
              <w:rPr>
                <w:rFonts w:hint="eastAsia" w:ascii="仿宋" w:hAnsi="仿宋" w:eastAsia="仿宋"/>
                <w:sz w:val="22"/>
              </w:rPr>
              <w:t>1.</w:t>
            </w:r>
            <w:r>
              <w:rPr>
                <w:rFonts w:hint="eastAsia" w:ascii="仿宋" w:hAnsi="仿宋" w:eastAsia="仿宋"/>
                <w:sz w:val="22"/>
                <w:highlight w:val="none"/>
              </w:rPr>
              <w:t>具有</w:t>
            </w:r>
            <w:r>
              <w:rPr>
                <w:rFonts w:hint="eastAsia" w:ascii="仿宋" w:hAnsi="仿宋" w:eastAsia="仿宋"/>
                <w:sz w:val="22"/>
                <w:highlight w:val="none"/>
                <w:lang w:val="en-US" w:eastAsia="zh-CN"/>
              </w:rPr>
              <w:t>5</w:t>
            </w:r>
            <w:r>
              <w:rPr>
                <w:rFonts w:hint="eastAsia" w:ascii="仿宋" w:hAnsi="仿宋" w:eastAsia="仿宋"/>
                <w:sz w:val="22"/>
                <w:highlight w:val="none"/>
              </w:rPr>
              <w:t>年以上</w:t>
            </w:r>
            <w:r>
              <w:rPr>
                <w:rFonts w:hint="eastAsia" w:ascii="仿宋" w:hAnsi="仿宋" w:eastAsia="仿宋"/>
                <w:sz w:val="22"/>
              </w:rPr>
              <w:t>土木工程类采购招标岗位工作经验，3年及以上土木工程类采购招标领域管理经验，2年以上国企相关经验；</w:t>
            </w:r>
          </w:p>
          <w:p>
            <w:pPr>
              <w:widowControl/>
              <w:jc w:val="left"/>
              <w:textAlignment w:val="center"/>
              <w:rPr>
                <w:rFonts w:hint="eastAsia" w:ascii="仿宋" w:hAnsi="仿宋" w:eastAsia="仿宋"/>
                <w:sz w:val="22"/>
              </w:rPr>
            </w:pPr>
            <w:r>
              <w:rPr>
                <w:rFonts w:hint="eastAsia" w:ascii="仿宋" w:hAnsi="仿宋" w:eastAsia="仿宋"/>
                <w:sz w:val="22"/>
              </w:rPr>
              <w:t>2.熟悉采购招标相关业务流程，掌握必要的采购招标专业技术。业务技能和管理水平，熟悉国家相关法律法规及制度规范；</w:t>
            </w:r>
          </w:p>
          <w:p>
            <w:pPr>
              <w:widowControl/>
              <w:jc w:val="left"/>
              <w:textAlignment w:val="center"/>
              <w:rPr>
                <w:rFonts w:hint="eastAsia" w:ascii="仿宋" w:hAnsi="仿宋" w:eastAsia="仿宋"/>
                <w:sz w:val="22"/>
              </w:rPr>
            </w:pPr>
            <w:r>
              <w:rPr>
                <w:rFonts w:hint="eastAsia" w:ascii="仿宋" w:hAnsi="仿宋" w:eastAsia="仿宋"/>
                <w:sz w:val="22"/>
              </w:rPr>
              <w:t>3.能够独立完成采购文件撰写及招投标文件编制和审核；</w:t>
            </w:r>
          </w:p>
          <w:p>
            <w:pPr>
              <w:widowControl/>
              <w:jc w:val="left"/>
              <w:textAlignment w:val="center"/>
              <w:rPr>
                <w:rFonts w:hint="eastAsia" w:ascii="仿宋" w:hAnsi="仿宋" w:eastAsia="仿宋"/>
                <w:sz w:val="22"/>
              </w:rPr>
            </w:pPr>
            <w:r>
              <w:rPr>
                <w:rFonts w:hint="eastAsia" w:ascii="仿宋" w:hAnsi="仿宋" w:eastAsia="仿宋"/>
                <w:sz w:val="22"/>
              </w:rPr>
              <w:t>4.掌握土木工程领域相关专业知识，熟悉建材市场行业动态及建材交易相关操作规程，具有土木工程专业中级以上职称；</w:t>
            </w:r>
          </w:p>
          <w:p>
            <w:pPr>
              <w:widowControl/>
              <w:jc w:val="left"/>
              <w:textAlignment w:val="center"/>
              <w:rPr>
                <w:rFonts w:hint="eastAsia" w:ascii="仿宋" w:hAnsi="仿宋" w:eastAsia="仿宋"/>
                <w:sz w:val="22"/>
              </w:rPr>
            </w:pPr>
            <w:r>
              <w:rPr>
                <w:rFonts w:hint="eastAsia" w:ascii="仿宋" w:hAnsi="仿宋" w:eastAsia="仿宋"/>
                <w:sz w:val="22"/>
              </w:rPr>
              <w:t>5.具有较强的市场分析能力，人际沟通能力、计划与执行能力，掌握必要的谈判技巧和语言表达能力；</w:t>
            </w:r>
          </w:p>
          <w:p>
            <w:pPr>
              <w:widowControl/>
              <w:jc w:val="left"/>
              <w:textAlignment w:val="center"/>
              <w:rPr>
                <w:rFonts w:hint="eastAsia" w:ascii="宋体" w:hAnsi="宋体"/>
                <w:b/>
                <w:bCs/>
                <w:color w:val="000000"/>
                <w:kern w:val="0"/>
                <w:sz w:val="24"/>
                <w:szCs w:val="24"/>
                <w:lang w:bidi="ar"/>
              </w:rPr>
            </w:pPr>
            <w:r>
              <w:rPr>
                <w:rFonts w:hint="eastAsia" w:ascii="仿宋" w:hAnsi="仿宋" w:eastAsia="仿宋"/>
                <w:sz w:val="22"/>
              </w:rPr>
              <w:t>6.熟练应用Office办公软件。</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b/>
                <w:bCs/>
                <w:color w:val="000000"/>
                <w:kern w:val="0"/>
                <w:sz w:val="24"/>
                <w:szCs w:val="24"/>
                <w:lang w:val="en-US" w:eastAsia="zh-CN" w:bidi="ar"/>
              </w:rPr>
            </w:pPr>
          </w:p>
        </w:tc>
      </w:tr>
      <w:tr>
        <w:tblPrEx>
          <w:tblLayout w:type="fixed"/>
          <w:tblCellMar>
            <w:top w:w="0" w:type="dxa"/>
            <w:left w:w="108" w:type="dxa"/>
            <w:bottom w:w="0" w:type="dxa"/>
            <w:right w:w="108" w:type="dxa"/>
          </w:tblCellMar>
        </w:tblPrEx>
        <w:trPr>
          <w:trHeight w:val="90" w:hRule="atLeast"/>
        </w:trPr>
        <w:tc>
          <w:tcPr>
            <w:tcW w:w="992" w:type="dxa"/>
          </w:tcPr>
          <w:p>
            <w:pPr>
              <w:widowControl/>
              <w:jc w:val="center"/>
              <w:textAlignment w:val="center"/>
              <w:rPr>
                <w:rFonts w:hint="eastAsia" w:ascii="宋体" w:hAnsi="宋体"/>
                <w:b/>
                <w:bCs/>
                <w:color w:val="000000"/>
                <w:kern w:val="0"/>
                <w:sz w:val="24"/>
                <w:szCs w:val="24"/>
                <w:lang w:bidi="ar"/>
              </w:rPr>
            </w:pPr>
          </w:p>
        </w:tc>
        <w:tc>
          <w:tcPr>
            <w:tcW w:w="1560" w:type="dxa"/>
            <w:vAlign w:val="center"/>
          </w:tcPr>
          <w:p>
            <w:pPr>
              <w:widowControl/>
              <w:jc w:val="center"/>
              <w:textAlignment w:val="center"/>
              <w:rPr>
                <w:rFonts w:hint="eastAsia" w:ascii="宋体" w:hAnsi="宋体"/>
                <w:b/>
                <w:bCs/>
                <w:color w:val="000000"/>
                <w:kern w:val="0"/>
                <w:sz w:val="24"/>
                <w:szCs w:val="24"/>
                <w:lang w:bidi="ar"/>
              </w:rPr>
            </w:pPr>
          </w:p>
        </w:tc>
        <w:tc>
          <w:tcPr>
            <w:tcW w:w="1645" w:type="dxa"/>
            <w:vAlign w:val="center"/>
          </w:tcPr>
          <w:p>
            <w:pPr>
              <w:widowControl/>
              <w:jc w:val="center"/>
              <w:textAlignment w:val="center"/>
              <w:rPr>
                <w:rFonts w:hint="eastAsia" w:ascii="宋体" w:hAnsi="宋体"/>
                <w:b/>
                <w:bCs/>
                <w:color w:val="000000"/>
                <w:kern w:val="0"/>
                <w:sz w:val="24"/>
                <w:szCs w:val="24"/>
                <w:lang w:bidi="ar"/>
              </w:rPr>
            </w:pPr>
          </w:p>
        </w:tc>
        <w:tc>
          <w:tcPr>
            <w:tcW w:w="901" w:type="dxa"/>
            <w:vAlign w:val="center"/>
          </w:tcPr>
          <w:p>
            <w:pPr>
              <w:widowControl/>
              <w:jc w:val="center"/>
              <w:textAlignment w:val="center"/>
              <w:rPr>
                <w:rFonts w:hint="eastAsia" w:ascii="宋体" w:hAnsi="宋体"/>
                <w:b/>
                <w:bCs/>
                <w:color w:val="000000"/>
                <w:kern w:val="0"/>
                <w:sz w:val="24"/>
                <w:szCs w:val="24"/>
                <w:lang w:bidi="ar"/>
              </w:rPr>
            </w:pPr>
          </w:p>
        </w:tc>
        <w:tc>
          <w:tcPr>
            <w:tcW w:w="1245" w:type="dxa"/>
            <w:vAlign w:val="center"/>
          </w:tcPr>
          <w:p>
            <w:pPr>
              <w:widowControl/>
              <w:jc w:val="center"/>
              <w:textAlignment w:val="center"/>
              <w:rPr>
                <w:rFonts w:hint="eastAsia" w:ascii="宋体" w:hAnsi="宋体"/>
                <w:b/>
                <w:bCs/>
                <w:color w:val="000000"/>
                <w:kern w:val="0"/>
                <w:sz w:val="24"/>
                <w:szCs w:val="24"/>
                <w:lang w:bidi="ar"/>
              </w:rPr>
            </w:pPr>
          </w:p>
        </w:tc>
        <w:tc>
          <w:tcPr>
            <w:tcW w:w="2670" w:type="dxa"/>
            <w:vAlign w:val="center"/>
          </w:tcPr>
          <w:p>
            <w:pPr>
              <w:widowControl/>
              <w:jc w:val="center"/>
              <w:textAlignment w:val="center"/>
              <w:rPr>
                <w:rFonts w:hint="eastAsia" w:ascii="宋体" w:hAnsi="宋体"/>
                <w:b/>
                <w:bCs/>
                <w:color w:val="000000"/>
                <w:kern w:val="0"/>
                <w:sz w:val="24"/>
                <w:szCs w:val="24"/>
                <w:lang w:bidi="ar"/>
              </w:rPr>
            </w:pPr>
          </w:p>
        </w:tc>
        <w:tc>
          <w:tcPr>
            <w:tcW w:w="1340" w:type="dxa"/>
            <w:vAlign w:val="center"/>
          </w:tcPr>
          <w:p>
            <w:pPr>
              <w:widowControl/>
              <w:jc w:val="center"/>
              <w:textAlignment w:val="center"/>
              <w:rPr>
                <w:rFonts w:hint="eastAsia" w:ascii="宋体" w:hAnsi="宋体"/>
                <w:b/>
                <w:bCs/>
                <w:color w:val="000000"/>
                <w:kern w:val="0"/>
                <w:sz w:val="24"/>
                <w:szCs w:val="24"/>
                <w:lang w:bidi="ar"/>
              </w:rPr>
            </w:pPr>
          </w:p>
        </w:tc>
        <w:tc>
          <w:tcPr>
            <w:tcW w:w="4208" w:type="dxa"/>
            <w:vAlign w:val="center"/>
          </w:tcPr>
          <w:p>
            <w:pPr>
              <w:widowControl/>
              <w:jc w:val="left"/>
              <w:textAlignment w:val="center"/>
              <w:rPr>
                <w:rFonts w:hint="eastAsia" w:ascii="宋体" w:hAnsi="宋体"/>
                <w:b/>
                <w:bCs/>
                <w:color w:val="000000"/>
                <w:kern w:val="0"/>
                <w:sz w:val="24"/>
                <w:szCs w:val="24"/>
                <w:lang w:bidi="ar"/>
              </w:rPr>
            </w:pPr>
          </w:p>
        </w:tc>
        <w:tc>
          <w:tcPr>
            <w:tcW w:w="1032" w:type="dxa"/>
          </w:tcPr>
          <w:p>
            <w:pPr>
              <w:widowControl/>
              <w:jc w:val="center"/>
              <w:textAlignment w:val="center"/>
              <w:rPr>
                <w:rFonts w:hint="eastAsia" w:ascii="宋体" w:hAnsi="宋体"/>
                <w:b/>
                <w:bCs/>
                <w:color w:val="000000"/>
                <w:kern w:val="0"/>
                <w:sz w:val="24"/>
                <w:szCs w:val="24"/>
                <w:lang w:val="en-US" w:eastAsia="zh-CN" w:bidi="ar"/>
              </w:rPr>
            </w:pPr>
          </w:p>
        </w:tc>
      </w:tr>
    </w:tbl>
    <w:p>
      <w:pPr>
        <w:rPr>
          <w:rFonts w:hint="eastAsia"/>
          <w:lang w:val="en-US" w:eastAsia="zh-CN"/>
        </w:rPr>
      </w:pPr>
    </w:p>
    <w:p>
      <w:pPr>
        <w:rPr>
          <w:rFonts w:hint="eastAsia"/>
          <w:lang w:val="en-US" w:eastAsia="zh-CN"/>
        </w:rPr>
      </w:pPr>
    </w:p>
    <w:p>
      <w:bookmarkStart w:id="0" w:name="_GoBack"/>
      <w:bookmarkEnd w:id="0"/>
    </w:p>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B3A3B"/>
    <w:rsid w:val="08133187"/>
    <w:rsid w:val="1D6D5475"/>
    <w:rsid w:val="4A434A8B"/>
    <w:rsid w:val="5C0865C9"/>
    <w:rsid w:val="741D1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unhideWhenUsed/>
    <w:qFormat/>
    <w:uiPriority w:val="0"/>
    <w:pPr>
      <w:spacing w:line="440" w:lineRule="exact"/>
      <w:ind w:firstLine="567"/>
    </w:pPr>
    <w:rPr>
      <w:rFonts w:ascii="宋体"/>
      <w:szCs w:val="20"/>
    </w:rPr>
  </w:style>
  <w:style w:type="paragraph" w:styleId="3">
    <w:name w:val="Body Text First Indent 2"/>
    <w:basedOn w:val="2"/>
    <w:next w:val="1"/>
    <w:unhideWhenUsed/>
    <w:qFormat/>
    <w:uiPriority w:val="0"/>
    <w:pPr>
      <w:tabs>
        <w:tab w:val="left" w:pos="360"/>
      </w:tabs>
      <w:spacing w:after="120"/>
      <w:ind w:firstLine="42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2024-09-12T02:54:00Z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