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96" w:tblpY="148"/>
        <w:tblOverlap w:val="never"/>
        <w:tblW w:w="15593" w:type="dxa"/>
        <w:tblInd w:w="0" w:type="dxa"/>
        <w:tblLayout w:type="fixed"/>
        <w:tblCellMar>
          <w:top w:w="0" w:type="dxa"/>
          <w:left w:w="108" w:type="dxa"/>
          <w:bottom w:w="0" w:type="dxa"/>
          <w:right w:w="108" w:type="dxa"/>
        </w:tblCellMar>
      </w:tblPr>
      <w:tblGrid>
        <w:gridCol w:w="992"/>
        <w:gridCol w:w="1560"/>
        <w:gridCol w:w="1645"/>
        <w:gridCol w:w="901"/>
        <w:gridCol w:w="1245"/>
        <w:gridCol w:w="2670"/>
        <w:gridCol w:w="1340"/>
        <w:gridCol w:w="4208"/>
        <w:gridCol w:w="1032"/>
      </w:tblGrid>
      <w:tr>
        <w:tblPrEx>
          <w:tblLayout w:type="fixed"/>
          <w:tblCellMar>
            <w:top w:w="0" w:type="dxa"/>
            <w:left w:w="108" w:type="dxa"/>
            <w:bottom w:w="0" w:type="dxa"/>
            <w:right w:w="108" w:type="dxa"/>
          </w:tblCellMar>
        </w:tblPrEx>
        <w:trPr>
          <w:trHeight w:val="977" w:hRule="atLeast"/>
        </w:trPr>
        <w:tc>
          <w:tcPr>
            <w:tcW w:w="15593" w:type="dxa"/>
            <w:gridSpan w:val="9"/>
            <w:tcBorders>
              <w:top w:val="nil"/>
              <w:left w:val="nil"/>
              <w:bottom w:val="nil"/>
              <w:right w:val="nil"/>
            </w:tcBorders>
            <w:vAlign w:val="center"/>
          </w:tcPr>
          <w:p>
            <w:pPr>
              <w:tabs>
                <w:tab w:val="center" w:pos="4772"/>
                <w:tab w:val="left" w:pos="7050"/>
              </w:tabs>
              <w:jc w:val="left"/>
              <w:rPr>
                <w:rFonts w:hint="default" w:ascii="宋体" w:hAnsi="宋体"/>
                <w:sz w:val="28"/>
                <w:szCs w:val="28"/>
                <w:lang w:val="en-US" w:eastAsia="zh-CN"/>
              </w:rPr>
            </w:pPr>
            <w:r>
              <w:rPr>
                <w:rFonts w:hint="eastAsia" w:ascii="宋体" w:hAnsi="宋体"/>
                <w:sz w:val="28"/>
                <w:szCs w:val="28"/>
                <w:lang w:val="en-US" w:eastAsia="zh-CN"/>
              </w:rPr>
              <w:t>附件1：</w:t>
            </w:r>
          </w:p>
          <w:p>
            <w:pPr>
              <w:widowControl/>
              <w:jc w:val="center"/>
              <w:textAlignment w:val="center"/>
              <w:rPr>
                <w:rFonts w:ascii="宋体" w:hAnsi="宋体"/>
                <w:b/>
                <w:bCs/>
                <w:color w:val="000000"/>
                <w:sz w:val="36"/>
                <w:szCs w:val="36"/>
              </w:rPr>
            </w:pPr>
            <w:r>
              <w:rPr>
                <w:rFonts w:hint="eastAsia" w:ascii="宋体" w:hAnsi="宋体"/>
                <w:b/>
                <w:bCs/>
                <w:color w:val="000000"/>
                <w:kern w:val="0"/>
                <w:sz w:val="36"/>
                <w:szCs w:val="36"/>
                <w:lang w:bidi="ar"/>
              </w:rPr>
              <w:t>吉林省净发创新投资集团子公司面向社会市场化选聘专业人才岗位一览表</w:t>
            </w:r>
          </w:p>
        </w:tc>
      </w:tr>
      <w:tr>
        <w:tblPrEx>
          <w:tblLayout w:type="fixed"/>
          <w:tblCellMar>
            <w:top w:w="0" w:type="dxa"/>
            <w:left w:w="108" w:type="dxa"/>
            <w:bottom w:w="0" w:type="dxa"/>
            <w:right w:w="108" w:type="dxa"/>
          </w:tblCellMar>
        </w:tblPrEx>
        <w:trPr>
          <w:trHeight w:val="5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序号</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选聘单位</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选聘岗位</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选聘人数</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年龄要求</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专业要求</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学历要求</w:t>
            </w:r>
          </w:p>
        </w:tc>
        <w:tc>
          <w:tcPr>
            <w:tcW w:w="42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b/>
                <w:bCs/>
                <w:color w:val="000000"/>
                <w:sz w:val="24"/>
                <w:szCs w:val="24"/>
              </w:rPr>
            </w:pPr>
            <w:r>
              <w:rPr>
                <w:rFonts w:hint="eastAsia" w:ascii="宋体" w:hAnsi="宋体"/>
                <w:b/>
                <w:bCs/>
                <w:color w:val="000000"/>
                <w:kern w:val="0"/>
                <w:sz w:val="24"/>
                <w:szCs w:val="24"/>
                <w:lang w:bidi="ar"/>
              </w:rPr>
              <w:t>其他岗位要求</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b/>
                <w:bCs/>
                <w:color w:val="000000"/>
                <w:sz w:val="24"/>
                <w:szCs w:val="24"/>
                <w:lang w:eastAsia="zh-CN"/>
              </w:rPr>
            </w:pPr>
            <w:r>
              <w:rPr>
                <w:rFonts w:hint="eastAsia" w:ascii="宋体" w:hAnsi="宋体"/>
                <w:b/>
                <w:bCs/>
                <w:color w:val="000000"/>
                <w:kern w:val="0"/>
                <w:sz w:val="24"/>
                <w:szCs w:val="24"/>
                <w:lang w:val="en-US" w:eastAsia="zh-CN" w:bidi="ar"/>
              </w:rPr>
              <w:t>备注</w:t>
            </w:r>
          </w:p>
        </w:tc>
      </w:tr>
      <w:tr>
        <w:tblPrEx>
          <w:tblLayout w:type="fixed"/>
          <w:tblCellMar>
            <w:top w:w="0" w:type="dxa"/>
            <w:left w:w="108" w:type="dxa"/>
            <w:bottom w:w="0" w:type="dxa"/>
            <w:right w:w="108" w:type="dxa"/>
          </w:tblCellMar>
        </w:tblPrEx>
        <w:trPr>
          <w:trHeight w:val="6159"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长春市新净发城中村改造房地产开发有限公司</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lang w:eastAsia="zh-CN"/>
              </w:rPr>
              <w:t>（</w:t>
            </w:r>
            <w:r>
              <w:rPr>
                <w:rFonts w:hint="eastAsia" w:ascii="仿宋" w:hAnsi="仿宋" w:eastAsia="仿宋" w:cs="仿宋"/>
                <w:color w:val="000000"/>
                <w:sz w:val="22"/>
                <w:lang w:val="en-US" w:eastAsia="zh-CN"/>
              </w:rPr>
              <w:t>二级公司</w:t>
            </w:r>
            <w:r>
              <w:rPr>
                <w:rFonts w:hint="eastAsia" w:ascii="仿宋" w:hAnsi="仿宋" w:eastAsia="仿宋" w:cs="仿宋"/>
                <w:color w:val="000000"/>
                <w:sz w:val="22"/>
                <w:lang w:eastAsia="zh-CN"/>
              </w:rPr>
              <w:t>）</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highlight w:val="none"/>
                <w:lang w:val="en-US" w:eastAsia="zh-CN"/>
              </w:rPr>
              <w:t>财务部长</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olor w:val="auto"/>
                <w:sz w:val="22"/>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45</w:t>
            </w:r>
            <w:r>
              <w:rPr>
                <w:rFonts w:hint="eastAsia" w:ascii="仿宋" w:hAnsi="仿宋" w:eastAsia="仿宋"/>
                <w:sz w:val="22"/>
                <w:lang w:val="en-US" w:eastAsia="zh-CN"/>
              </w:rPr>
              <w:t>周</w:t>
            </w:r>
            <w:r>
              <w:rPr>
                <w:rFonts w:hint="eastAsia" w:ascii="仿宋" w:hAnsi="仿宋" w:eastAsia="仿宋"/>
                <w:sz w:val="22"/>
              </w:rPr>
              <w:t>岁</w:t>
            </w:r>
            <w:r>
              <w:rPr>
                <w:rFonts w:hint="eastAsia" w:ascii="仿宋" w:hAnsi="仿宋" w:eastAsia="仿宋"/>
                <w:sz w:val="22"/>
                <w:lang w:val="en-US" w:eastAsia="zh-CN"/>
              </w:rPr>
              <w:t>及</w:t>
            </w:r>
            <w:r>
              <w:rPr>
                <w:rFonts w:hint="eastAsia" w:ascii="仿宋" w:hAnsi="仿宋" w:eastAsia="仿宋"/>
                <w:sz w:val="22"/>
              </w:rPr>
              <w:t>以下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lang w:val="en-US" w:eastAsia="zh-CN"/>
              </w:rPr>
            </w:pPr>
            <w:r>
              <w:rPr>
                <w:rFonts w:hint="eastAsia" w:ascii="仿宋" w:hAnsi="仿宋" w:eastAsia="仿宋"/>
                <w:color w:val="auto"/>
                <w:sz w:val="22"/>
                <w:highlight w:val="none"/>
                <w:lang w:val="en-US" w:eastAsia="zh-CN"/>
              </w:rPr>
              <w:t>工商管理类（一级学科）</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全日制本科</w:t>
            </w:r>
            <w:r>
              <w:rPr>
                <w:rFonts w:hint="eastAsia" w:ascii="仿宋" w:hAnsi="仿宋" w:eastAsia="仿宋"/>
                <w:sz w:val="22"/>
                <w:lang w:val="en-US" w:eastAsia="zh-CN"/>
              </w:rPr>
              <w:t>及以上学历</w:t>
            </w:r>
          </w:p>
        </w:tc>
        <w:tc>
          <w:tcPr>
            <w:tcW w:w="4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sz w:val="22"/>
              </w:rPr>
            </w:pPr>
            <w:r>
              <w:rPr>
                <w:rFonts w:hint="eastAsia" w:ascii="仿宋" w:hAnsi="仿宋" w:eastAsia="仿宋"/>
                <w:sz w:val="22"/>
              </w:rPr>
              <w:t>1. 持有高级会计师证，5年以上房地产行业财务会计工作经验，有注册会计师证优先；</w:t>
            </w:r>
          </w:p>
          <w:p>
            <w:pPr>
              <w:widowControl/>
              <w:jc w:val="left"/>
              <w:textAlignment w:val="center"/>
              <w:rPr>
                <w:rFonts w:hint="eastAsia" w:ascii="仿宋" w:hAnsi="仿宋" w:eastAsia="仿宋"/>
                <w:sz w:val="22"/>
              </w:rPr>
            </w:pPr>
            <w:r>
              <w:rPr>
                <w:rFonts w:hint="eastAsia" w:ascii="仿宋" w:hAnsi="仿宋" w:eastAsia="仿宋"/>
                <w:sz w:val="22"/>
              </w:rPr>
              <w:t>2. 熟练掌握财务软件及办公软件;</w:t>
            </w:r>
          </w:p>
          <w:p>
            <w:pPr>
              <w:widowControl/>
              <w:jc w:val="left"/>
              <w:textAlignment w:val="center"/>
              <w:rPr>
                <w:rFonts w:hint="eastAsia" w:ascii="仿宋" w:hAnsi="仿宋" w:eastAsia="仿宋"/>
                <w:sz w:val="22"/>
              </w:rPr>
            </w:pPr>
            <w:r>
              <w:rPr>
                <w:rFonts w:hint="eastAsia" w:ascii="仿宋" w:hAnsi="仿宋" w:eastAsia="仿宋"/>
                <w:sz w:val="22"/>
              </w:rPr>
              <w:t>3. 具备扎实的财税知识，负责企业财务管理、预算管理、会计核算、成本核算、内部控制、财务报表及财务分析报告等全方位财务工作;</w:t>
            </w:r>
          </w:p>
          <w:p>
            <w:pPr>
              <w:widowControl/>
              <w:jc w:val="left"/>
              <w:textAlignment w:val="center"/>
              <w:rPr>
                <w:rFonts w:hint="eastAsia" w:ascii="仿宋" w:hAnsi="仿宋" w:eastAsia="仿宋"/>
                <w:sz w:val="22"/>
              </w:rPr>
            </w:pPr>
            <w:r>
              <w:rPr>
                <w:rFonts w:hint="eastAsia" w:ascii="仿宋" w:hAnsi="仿宋" w:eastAsia="仿宋"/>
                <w:sz w:val="22"/>
              </w:rPr>
              <w:t>4.熟悉房地产会计工作流程和相关税收政策，进行税务筹划及申报；</w:t>
            </w:r>
          </w:p>
          <w:p>
            <w:pPr>
              <w:widowControl/>
              <w:jc w:val="left"/>
              <w:textAlignment w:val="center"/>
              <w:rPr>
                <w:rFonts w:hint="eastAsia" w:ascii="仿宋" w:hAnsi="仿宋" w:eastAsia="仿宋"/>
                <w:sz w:val="22"/>
              </w:rPr>
            </w:pPr>
            <w:r>
              <w:rPr>
                <w:rFonts w:hint="eastAsia" w:ascii="仿宋" w:hAnsi="仿宋" w:eastAsia="仿宋"/>
                <w:sz w:val="22"/>
              </w:rPr>
              <w:t>5. 具备较强的沟通能力，负责与上级相关部门的对接工作，按各部门填报所需报表，与银行、税务、审计等部门的沟通工作；</w:t>
            </w:r>
          </w:p>
          <w:p>
            <w:pPr>
              <w:widowControl/>
              <w:jc w:val="left"/>
              <w:textAlignment w:val="center"/>
              <w:rPr>
                <w:rFonts w:ascii="仿宋" w:hAnsi="仿宋" w:eastAsia="仿宋" w:cs="仿宋"/>
                <w:color w:val="000000"/>
                <w:sz w:val="22"/>
              </w:rPr>
            </w:pPr>
            <w:r>
              <w:rPr>
                <w:rFonts w:hint="eastAsia" w:ascii="仿宋" w:hAnsi="仿宋" w:eastAsia="仿宋"/>
                <w:sz w:val="22"/>
              </w:rPr>
              <w:t xml:space="preserve">6. 工作细致，有良好的职业操守，保密性、责任感强。 </w:t>
            </w:r>
          </w:p>
        </w:tc>
        <w:tc>
          <w:tcPr>
            <w:tcW w:w="103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olor w:val="000000"/>
                <w:sz w:val="22"/>
                <w:lang w:val="en-US" w:eastAsia="zh-CN"/>
              </w:rPr>
            </w:pPr>
          </w:p>
        </w:tc>
      </w:tr>
      <w:tr>
        <w:tblPrEx>
          <w:tblLayout w:type="fixed"/>
          <w:tblCellMar>
            <w:top w:w="0" w:type="dxa"/>
            <w:left w:w="108" w:type="dxa"/>
            <w:bottom w:w="0" w:type="dxa"/>
            <w:right w:w="108" w:type="dxa"/>
          </w:tblCellMar>
        </w:tblPrEx>
        <w:trPr>
          <w:trHeight w:val="5726" w:hRule="atLeast"/>
        </w:trPr>
        <w:tc>
          <w:tcPr>
            <w:tcW w:w="9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 w:val="22"/>
                <w:lang w:eastAsia="zh-CN" w:bidi="ar"/>
              </w:rPr>
            </w:pPr>
            <w:r>
              <w:rPr>
                <w:rFonts w:hint="eastAsia" w:ascii="仿宋" w:hAnsi="仿宋" w:eastAsia="仿宋" w:cs="仿宋"/>
                <w:color w:val="000000"/>
                <w:kern w:val="0"/>
                <w:sz w:val="22"/>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 w:val="22"/>
              </w:rPr>
            </w:pPr>
            <w:r>
              <w:rPr>
                <w:rFonts w:hint="eastAsia" w:ascii="仿宋" w:hAnsi="仿宋" w:eastAsia="仿宋" w:cs="仿宋"/>
                <w:color w:val="000000"/>
                <w:sz w:val="22"/>
              </w:rPr>
              <w:t>长春市新净发城中村改造房地产开发有限公司</w:t>
            </w:r>
          </w:p>
          <w:p>
            <w:pPr>
              <w:widowControl/>
              <w:jc w:val="center"/>
              <w:textAlignment w:val="center"/>
              <w:rPr>
                <w:rFonts w:ascii="仿宋" w:hAnsi="仿宋" w:eastAsia="仿宋" w:cs="仿宋"/>
                <w:color w:val="000000"/>
                <w:sz w:val="22"/>
              </w:rPr>
            </w:pPr>
            <w:r>
              <w:rPr>
                <w:rFonts w:hint="eastAsia" w:ascii="仿宋" w:hAnsi="仿宋" w:eastAsia="仿宋" w:cs="仿宋"/>
                <w:color w:val="000000"/>
                <w:sz w:val="22"/>
                <w:lang w:eastAsia="zh-CN"/>
              </w:rPr>
              <w:t>（</w:t>
            </w:r>
            <w:r>
              <w:rPr>
                <w:rFonts w:hint="eastAsia" w:ascii="仿宋" w:hAnsi="仿宋" w:eastAsia="仿宋" w:cs="仿宋"/>
                <w:color w:val="000000"/>
                <w:sz w:val="22"/>
                <w:lang w:val="en-US" w:eastAsia="zh-CN"/>
              </w:rPr>
              <w:t>二级公司</w:t>
            </w:r>
            <w:r>
              <w:rPr>
                <w:rFonts w:hint="eastAsia" w:ascii="仿宋" w:hAnsi="仿宋" w:eastAsia="仿宋" w:cs="仿宋"/>
                <w:color w:val="000000"/>
                <w:sz w:val="22"/>
                <w:lang w:eastAsia="zh-CN"/>
              </w:rPr>
              <w:t>）</w:t>
            </w:r>
          </w:p>
        </w:tc>
        <w:tc>
          <w:tcPr>
            <w:tcW w:w="16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highlight w:val="none"/>
                <w:lang w:val="en-US" w:eastAsia="zh-CN"/>
              </w:rPr>
              <w:t>出纳</w:t>
            </w:r>
          </w:p>
        </w:tc>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color w:val="auto"/>
                <w:sz w:val="22"/>
                <w:highlight w:val="none"/>
                <w:lang w:val="en-US" w:eastAsia="zh-CN"/>
              </w:rPr>
              <w:t>1</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35</w:t>
            </w:r>
            <w:r>
              <w:rPr>
                <w:rFonts w:hint="eastAsia" w:ascii="仿宋" w:hAnsi="仿宋" w:eastAsia="仿宋"/>
                <w:sz w:val="22"/>
                <w:lang w:val="en-US" w:eastAsia="zh-CN"/>
              </w:rPr>
              <w:t>周</w:t>
            </w:r>
            <w:r>
              <w:rPr>
                <w:rFonts w:hint="eastAsia" w:ascii="仿宋" w:hAnsi="仿宋" w:eastAsia="仿宋"/>
                <w:sz w:val="22"/>
              </w:rPr>
              <w:t>岁</w:t>
            </w:r>
            <w:r>
              <w:rPr>
                <w:rFonts w:hint="eastAsia" w:ascii="仿宋" w:hAnsi="仿宋" w:eastAsia="仿宋"/>
                <w:sz w:val="22"/>
                <w:lang w:val="en-US" w:eastAsia="zh-CN"/>
              </w:rPr>
              <w:t>及</w:t>
            </w:r>
            <w:r>
              <w:rPr>
                <w:rFonts w:hint="eastAsia" w:ascii="仿宋" w:hAnsi="仿宋" w:eastAsia="仿宋"/>
                <w:sz w:val="22"/>
              </w:rPr>
              <w:t>以</w:t>
            </w:r>
            <w:bookmarkStart w:id="0" w:name="_GoBack"/>
            <w:bookmarkEnd w:id="0"/>
            <w:r>
              <w:rPr>
                <w:rFonts w:hint="eastAsia" w:ascii="仿宋" w:hAnsi="仿宋" w:eastAsia="仿宋"/>
                <w:sz w:val="22"/>
              </w:rPr>
              <w:t>下</w:t>
            </w:r>
          </w:p>
        </w:tc>
        <w:tc>
          <w:tcPr>
            <w:tcW w:w="26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lang w:val="en-US" w:eastAsia="zh-CN"/>
              </w:rPr>
            </w:pPr>
            <w:r>
              <w:rPr>
                <w:rFonts w:hint="eastAsia" w:ascii="仿宋" w:hAnsi="仿宋" w:eastAsia="仿宋"/>
                <w:color w:val="auto"/>
                <w:sz w:val="22"/>
                <w:highlight w:val="none"/>
                <w:lang w:val="en-US" w:eastAsia="zh-CN"/>
              </w:rPr>
              <w:t>工商管理类（财务管理专业、会计学专业）、金融学类（金融学专业）</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 w:val="22"/>
              </w:rPr>
            </w:pPr>
            <w:r>
              <w:rPr>
                <w:rFonts w:hint="eastAsia" w:ascii="仿宋" w:hAnsi="仿宋" w:eastAsia="仿宋"/>
                <w:sz w:val="22"/>
              </w:rPr>
              <w:t>全日制本科</w:t>
            </w:r>
            <w:r>
              <w:rPr>
                <w:rFonts w:hint="eastAsia" w:ascii="仿宋" w:hAnsi="仿宋" w:eastAsia="仿宋"/>
                <w:sz w:val="22"/>
                <w:lang w:val="en-US" w:eastAsia="zh-CN"/>
              </w:rPr>
              <w:t>及以上学历</w:t>
            </w:r>
          </w:p>
        </w:tc>
        <w:tc>
          <w:tcPr>
            <w:tcW w:w="420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sz w:val="22"/>
              </w:rPr>
            </w:pPr>
            <w:r>
              <w:rPr>
                <w:rFonts w:hint="eastAsia" w:ascii="仿宋" w:hAnsi="仿宋" w:eastAsia="仿宋"/>
                <w:sz w:val="22"/>
              </w:rPr>
              <w:t>1. 持有初级会计师证，1年以上出纳相关工作经验，熟悉银行结算流程，负责现金及银行存款的收支管理工作，做到日清月结;</w:t>
            </w:r>
          </w:p>
          <w:p>
            <w:pPr>
              <w:widowControl/>
              <w:jc w:val="left"/>
              <w:textAlignment w:val="center"/>
              <w:rPr>
                <w:rFonts w:hint="eastAsia" w:ascii="仿宋" w:hAnsi="仿宋" w:eastAsia="仿宋"/>
                <w:sz w:val="22"/>
              </w:rPr>
            </w:pPr>
            <w:r>
              <w:rPr>
                <w:rFonts w:hint="eastAsia" w:ascii="仿宋" w:hAnsi="仿宋" w:eastAsia="仿宋"/>
                <w:sz w:val="22"/>
              </w:rPr>
              <w:t>2. 熟练使用财务软件和OFFICE办公软件;</w:t>
            </w:r>
          </w:p>
          <w:p>
            <w:pPr>
              <w:widowControl/>
              <w:jc w:val="left"/>
              <w:textAlignment w:val="center"/>
              <w:rPr>
                <w:rFonts w:hint="eastAsia" w:ascii="仿宋" w:hAnsi="仿宋" w:eastAsia="仿宋"/>
                <w:sz w:val="22"/>
              </w:rPr>
            </w:pPr>
            <w:r>
              <w:rPr>
                <w:rFonts w:hint="eastAsia" w:ascii="仿宋" w:hAnsi="仿宋" w:eastAsia="仿宋"/>
                <w:sz w:val="22"/>
              </w:rPr>
              <w:t>3. 按时上报资金日报，传递票据等相关工作；</w:t>
            </w:r>
          </w:p>
          <w:p>
            <w:pPr>
              <w:widowControl/>
              <w:jc w:val="left"/>
              <w:textAlignment w:val="center"/>
              <w:rPr>
                <w:rFonts w:ascii="仿宋" w:hAnsi="仿宋" w:eastAsia="仿宋" w:cs="仿宋"/>
                <w:color w:val="000000"/>
                <w:sz w:val="22"/>
              </w:rPr>
            </w:pPr>
            <w:r>
              <w:rPr>
                <w:rFonts w:hint="eastAsia" w:ascii="仿宋" w:hAnsi="仿宋" w:eastAsia="仿宋"/>
                <w:sz w:val="22"/>
              </w:rPr>
              <w:t>4.认真细致，具有较强的沟通表达能力以及团队协作能力。</w:t>
            </w:r>
          </w:p>
        </w:tc>
        <w:tc>
          <w:tcPr>
            <w:tcW w:w="1032"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olor w:val="000000"/>
                <w:sz w:val="22"/>
                <w:lang w:val="en-US" w:eastAsia="zh-CN"/>
              </w:rPr>
            </w:pPr>
          </w:p>
        </w:tc>
      </w:tr>
    </w:tbl>
    <w:p/>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D5475"/>
    <w:rsid w:val="4A434A8B"/>
    <w:rsid w:val="741D1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unhideWhenUsed/>
    <w:qFormat/>
    <w:uiPriority w:val="0"/>
    <w:pPr>
      <w:spacing w:line="440" w:lineRule="exact"/>
      <w:ind w:firstLine="567"/>
    </w:pPr>
    <w:rPr>
      <w:rFonts w:ascii="宋体"/>
      <w:szCs w:val="20"/>
    </w:rPr>
  </w:style>
  <w:style w:type="paragraph" w:styleId="3">
    <w:name w:val="Body Text First Indent 2"/>
    <w:basedOn w:val="2"/>
    <w:next w:val="1"/>
    <w:unhideWhenUsed/>
    <w:qFormat/>
    <w:uiPriority w:val="0"/>
    <w:pPr>
      <w:tabs>
        <w:tab w:val="left" w:pos="360"/>
      </w:tabs>
      <w:spacing w:after="120"/>
      <w:ind w:firstLine="420"/>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2024-09-11T06:20:36Z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