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080"/>
        <w:contextualSpacing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附件1：</w:t>
      </w: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  <w:t>长春净月潭旅游发展集团有限公司</w:t>
      </w: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面向社会公开招聘劳务派遣人员岗位一览表</w:t>
      </w:r>
    </w:p>
    <w:tbl>
      <w:tblPr>
        <w:tblStyle w:val="9"/>
        <w:tblW w:w="14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61"/>
        <w:gridCol w:w="1339"/>
        <w:gridCol w:w="1322"/>
        <w:gridCol w:w="1396"/>
        <w:gridCol w:w="1612"/>
        <w:gridCol w:w="1217"/>
        <w:gridCol w:w="5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6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22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5148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其他岗位要求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长春净月潭旅游发展集团有限公司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宣传和信息技术部软件开发工程师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30-35周岁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计算机相关专业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1.8年以上系统开发经验，熟练掌握JAVA、SpringBoot、SpringCloud、MyBatis、Docker、Nginx、rabbitmq、K8S、Git、SVN等常用框架工具及容器，了解其工作原理；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2.有扎实的编程功底，具备良好的编码规范；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3.熟练掌握常见MySQL、NoSQL（如Redis等）数据库原理、数据库设计、查询编写和优化，熟练前后端分离设计规范、了解VUE前端技术栈的优先；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4.逻辑清晰，有较强的学习能力和独立的分析问题、解决问题的能力及良好的沟通能力、团队合作精神；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5.技能突出者年龄可适当放宽1-2岁。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长春净月潭旅游发展集团有限公司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宣传和信息技术部视频制作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新闻传播学类、广播电视编导相关专业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1.具备2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2.有较强的艺术创作能力，精通并善于运用镜头语言进行表达，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3.熟知创作、采访、摄影、摄像、撰稿、剪辑、音乐等各个环节，能够独立完成后期视频剪辑与特效包装；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4.具有良好的思想政治素质，品行端正，责任心强，善于沟通，具有完成岗位工作的基本素质。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旅游业务部导游员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25周岁及以下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旅游管理相关专业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1.女性身高1.65米以上，男性身高1.75米以上；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2.持有导游证；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3.五官端正，形象好，气质佳，有良好的沟通表达能力，服务意识强，有驾驶经验者优先；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4.同时具备景区讲解工作经验者年龄可适当放宽1-2岁。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观光运营部船员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25-35周岁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1.热爱本职工作，服从管理，诚实守信，吃苦耐劳，具有良好的团队精神；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2.有船员证和船舶驾驶证者优先；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3.技能突出者年龄可适当放宽1-2岁。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观光运营部客车司机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35-40周岁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限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1.持有A1驾驶证，驾驶技术熟练，具有旅游客运车辆驾驶经验者优先；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2.公安系统无不良记录，诚实守信，吃苦耐劳；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3.具有良好的沟通能力及团队协作精神；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4.技能突出者可适当放宽1-2岁。</w:t>
            </w:r>
          </w:p>
        </w:tc>
      </w:tr>
    </w:tbl>
    <w:p/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Rxltl0AAAAAIBAAAPAAAAAAAAAAEAIAAAACIAAABkcnMv&#10;ZG93bnJldi54bWxQSwECFAAUAAAACACHTuJASU3yDZkBAAA3AwAADgAAAAAAAAABACAAAAAf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I1NDc5OTQxY2Q0MDczYmIzNjRkNjUwYWRiYjAifQ=="/>
  </w:docVars>
  <w:rsids>
    <w:rsidRoot w:val="00A36EC8"/>
    <w:rsid w:val="00001980"/>
    <w:rsid w:val="00013374"/>
    <w:rsid w:val="0004443E"/>
    <w:rsid w:val="001B742C"/>
    <w:rsid w:val="001D2B3C"/>
    <w:rsid w:val="002429FE"/>
    <w:rsid w:val="00307CE3"/>
    <w:rsid w:val="00333E72"/>
    <w:rsid w:val="0039030E"/>
    <w:rsid w:val="003B36F8"/>
    <w:rsid w:val="00412471"/>
    <w:rsid w:val="005A3CC4"/>
    <w:rsid w:val="005C3A59"/>
    <w:rsid w:val="00692B0F"/>
    <w:rsid w:val="007B4B04"/>
    <w:rsid w:val="007C1129"/>
    <w:rsid w:val="008319A8"/>
    <w:rsid w:val="00855092"/>
    <w:rsid w:val="00882DAA"/>
    <w:rsid w:val="008B3304"/>
    <w:rsid w:val="008E0077"/>
    <w:rsid w:val="008E71AD"/>
    <w:rsid w:val="008F7498"/>
    <w:rsid w:val="00913D65"/>
    <w:rsid w:val="0092121A"/>
    <w:rsid w:val="00961D2F"/>
    <w:rsid w:val="00A36EC8"/>
    <w:rsid w:val="00A4208A"/>
    <w:rsid w:val="00A47479"/>
    <w:rsid w:val="00AE534C"/>
    <w:rsid w:val="00BB2470"/>
    <w:rsid w:val="00BE4B41"/>
    <w:rsid w:val="00C5751B"/>
    <w:rsid w:val="00DF3951"/>
    <w:rsid w:val="00E36962"/>
    <w:rsid w:val="00E82C27"/>
    <w:rsid w:val="00E906CF"/>
    <w:rsid w:val="00EB40CC"/>
    <w:rsid w:val="00ED6D65"/>
    <w:rsid w:val="00F22600"/>
    <w:rsid w:val="00F34154"/>
    <w:rsid w:val="00F50CC0"/>
    <w:rsid w:val="0613624B"/>
    <w:rsid w:val="0AEB360F"/>
    <w:rsid w:val="0B360F7C"/>
    <w:rsid w:val="13052647"/>
    <w:rsid w:val="20080954"/>
    <w:rsid w:val="35427ABF"/>
    <w:rsid w:val="3EF42DE0"/>
    <w:rsid w:val="401D124D"/>
    <w:rsid w:val="49EC70A4"/>
    <w:rsid w:val="5175745A"/>
    <w:rsid w:val="57D71B4F"/>
    <w:rsid w:val="661C5BB8"/>
    <w:rsid w:val="67351044"/>
    <w:rsid w:val="69370EC6"/>
    <w:rsid w:val="6A4A0D42"/>
    <w:rsid w:val="709C4AF3"/>
    <w:rsid w:val="774A5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Char"/>
    <w:basedOn w:val="7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26D220-C676-4172-AFBD-0F71F01076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3605</Words>
  <Characters>3772</Characters>
  <Lines>28</Lines>
  <Paragraphs>7</Paragraphs>
  <TotalTime>1</TotalTime>
  <ScaleCrop>false</ScaleCrop>
  <LinksUpToDate>false</LinksUpToDate>
  <CharactersWithSpaces>3779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2023-05-06T06:35:00Z</dcterms:created>
  <dc:creator>孙旭</dc:creator>
  <cp:lastModifiedBy>Administrator</cp:lastModifiedBy>
  <cp:lastPrinted>2023-01-18T12:08:00Z</cp:lastPrinted>
  <dcterms:modified xsi:type="dcterms:W3CDTF">2024-04-25T01:52:30Z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FBC1441399E2428194B6F8113A9887B4_13</vt:lpwstr>
  </property>
</Properties>
</file>